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37-2 (민원접수 원자료 정리)  |  37-2_데이터정제_규칙_카드.docx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32"/>
        </w:rPr>
        <w:t>데이터정제 규칙 카드</w:t>
      </w:r>
    </w:p>
    <w:p>
      <w:pPr>
        <w:spacing w:after="200"/>
      </w:pPr>
      <w:r>
        <w:rPr>
          <w:rFonts w:ascii="맑은 고딕" w:hAnsi="맑은 고딕"/>
          <w:b w:val="0"/>
        </w:rPr>
        <w:t>본 카드는 흩어진 민원접수 원자료를 분석 가능한 표로 정리하기 위한 일곱 가지 정제 규칙을 담습니다. 37-1 원자료를 열어 각 규칙에 해당하는 항목을 표시하고, 마지막 절의 출력 표 구조에 맞춰 정리해보세요. 각 규칙은 적용 대상, 판정 기준, 조치, 예외 네 가지로 구성됩니다.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/>
            <w:r>
              <w:rPr>
                <w:b/>
                <w:sz w:val="22"/>
              </w:rPr>
              <w:t>규칙 1</w:t>
            </w:r>
          </w:p>
        </w:tc>
        <w:tc>
          <w:tcPr>
            <w:tcW w:type="dxa" w:w="7257"/>
          </w:tcPr>
          <w:p>
            <w:r/>
            <w:r>
              <w:rPr>
                <w:b/>
                <w:sz w:val="22"/>
              </w:rPr>
              <w:t>누락값 처리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담당부서, 신청인_연락처, 신청인_주소_요약, 처리상태 열의 빈칸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필수 열에 빈칸이 있고 비고에 사유가 명시되지 않으면 누락으로 본다.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누락 표시 N/A로 채우고 별도 시트 누락_확인_필요 에 행 번호를 기록한다.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민원유형이 익명 신고에 해당하면 신청인 정보 누락은 허용한다.</w:t>
            </w:r>
          </w:p>
        </w:tc>
      </w:tr>
    </w:tbl>
    <w:p>
      <w:pPr>
        <w:spacing w:after="80"/>
      </w:pP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/>
            <w:r>
              <w:rPr>
                <w:b/>
                <w:sz w:val="22"/>
              </w:rPr>
              <w:t>규칙 2</w:t>
            </w:r>
          </w:p>
        </w:tc>
        <w:tc>
          <w:tcPr>
            <w:tcW w:type="dxa" w:w="7257"/>
          </w:tcPr>
          <w:p>
            <w:r/>
            <w:r>
              <w:rPr>
                <w:b/>
                <w:sz w:val="22"/>
              </w:rPr>
              <w:t>중복 접수 처리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같은 신청인 이름, 같은 연락처, 같은 민원 내용 요지를 가진 두 건 이상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신청 일자 사흘 이내에 같은 내용이 반복되면 중복으로 본다.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최초 접수 건을 대표로 남기고 후속 건은 비고에 대표_접수번호 표시 후 별도 시트로 분리한다.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후속 접수에 신규 증빙이나 새 요구가 추가되면 별건으로 유지한다.</w:t>
            </w:r>
          </w:p>
        </w:tc>
      </w:tr>
    </w:tbl>
    <w:p>
      <w:pPr>
        <w:spacing w:after="80"/>
      </w:pP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/>
            <w:r>
              <w:rPr>
                <w:b/>
                <w:sz w:val="22"/>
              </w:rPr>
              <w:t>규칙 3</w:t>
            </w:r>
          </w:p>
        </w:tc>
        <w:tc>
          <w:tcPr>
            <w:tcW w:type="dxa" w:w="7257"/>
          </w:tcPr>
          <w:p>
            <w:r/>
            <w:r>
              <w:rPr>
                <w:b/>
                <w:sz w:val="22"/>
              </w:rPr>
              <w:t>개인정보 마스킹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주민등록번호, 생년월일, 풀네임과 결합된 식별 정보, 비공개 연락처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외부 공유본에 들어가서는 안 되는 식별 정보가 본문이나 비고에 노출된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주민번호 뒷자리, 생년월일, 상세 주소 동·번지는 마스킹 처리하고 원본은 내부용에만 보관한다.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법령상 보고 의무로 원문 보존이 필요한 경우는 별도 권한 시트에 분리해둔다.</w:t>
            </w:r>
          </w:p>
        </w:tc>
      </w:tr>
    </w:tbl>
    <w:p>
      <w:pPr>
        <w:spacing w:after="80"/>
      </w:pP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/>
            <w:r>
              <w:rPr>
                <w:b/>
                <w:sz w:val="22"/>
              </w:rPr>
              <w:t>규칙 4</w:t>
            </w:r>
          </w:p>
        </w:tc>
        <w:tc>
          <w:tcPr>
            <w:tcW w:type="dxa" w:w="7257"/>
          </w:tcPr>
          <w:p>
            <w:r/>
            <w:r>
              <w:rPr>
                <w:b/>
                <w:sz w:val="22"/>
              </w:rPr>
              <w:t>날짜와 연락처 표기 정규화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접수일자 열의 다양한 형식, 신청인_연락처 열의 공백·하이픈 혼재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한 열 안에 두 가지 이상의 표기 방식이 섞여 있는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접수일자는 YYYY-MM-DD, 연락처는 010-XXXX-XXXX 단일 형식으로 통일한다.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표기가 증거로 필요하면 원본_표기 열을 추가해 함께 보존한다.</w:t>
            </w:r>
          </w:p>
        </w:tc>
      </w:tr>
    </w:tbl>
    <w:p>
      <w:pPr>
        <w:spacing w:after="80"/>
      </w:pP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/>
            <w:r>
              <w:rPr>
                <w:b/>
                <w:sz w:val="22"/>
              </w:rPr>
              <w:t>규칙 5</w:t>
            </w:r>
          </w:p>
        </w:tc>
        <w:tc>
          <w:tcPr>
            <w:tcW w:type="dxa" w:w="7257"/>
          </w:tcPr>
          <w:p>
            <w:r/>
            <w:r>
              <w:rPr>
                <w:b/>
                <w:sz w:val="22"/>
              </w:rPr>
              <w:t>민원유형 분류 표준화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민원유형 열의 자유서술 값(예: 기타, 혼합, 잘 모르겠음 등)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기관 표준 분류표에 없는 값이거나 두 가지 이상이 한 칸에 묶여 있는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표준 분류로 재배정하고 두 건 이상이 묶여 있으면 행을 분리한다. 재배정이 어려우면 분류_재검토 표시.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민원이 새로운 유형이라면 표준 분류표 개정 후보 시트에 추가한다.</w:t>
            </w:r>
          </w:p>
        </w:tc>
      </w:tr>
    </w:tbl>
    <w:p>
      <w:pPr>
        <w:spacing w:after="80"/>
      </w:pP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/>
            <w:r>
              <w:rPr>
                <w:b/>
                <w:sz w:val="22"/>
              </w:rPr>
              <w:t>규칙 6</w:t>
            </w:r>
          </w:p>
        </w:tc>
        <w:tc>
          <w:tcPr>
            <w:tcW w:type="dxa" w:w="7257"/>
          </w:tcPr>
          <w:p>
            <w:r/>
            <w:r>
              <w:rPr>
                <w:b/>
                <w:sz w:val="22"/>
              </w:rPr>
              <w:t>자유서술 요약과 모호 표현 정리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민원내용, 비고 열의 모호 표현·이중 부정·책임 회피 문장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안 되는 것은 아니다, 가능할 수도 있을 것 같음, 어쩌면 같은 표현이 발견된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원문은 보존하되 정리표에는 요지를 한 문장으로 다듬고 모호 표현은 검토 필요로 표시한다.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민원인의 정서적 표현 그대로가 의미가 큰 경우(예: 안전 위협 진술)는 원문 유지.</w:t>
            </w:r>
          </w:p>
        </w:tc>
      </w:tr>
    </w:tbl>
    <w:p>
      <w:pPr>
        <w:spacing w:after="80"/>
      </w:pP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/>
            <w:r>
              <w:rPr>
                <w:b/>
                <w:sz w:val="22"/>
              </w:rPr>
              <w:t>규칙 7</w:t>
            </w:r>
          </w:p>
        </w:tc>
        <w:tc>
          <w:tcPr>
            <w:tcW w:type="dxa" w:w="7257"/>
          </w:tcPr>
          <w:p>
            <w:r/>
            <w:r>
              <w:rPr>
                <w:b/>
                <w:sz w:val="22"/>
              </w:rPr>
              <w:t>출력 표 구조 표준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정제 후 분석용 결과 시트의 열 구성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분석용 결과는 다음 열 순서를 따른다: 접수번호 / 접수일자 / 접수경로 / 담당부서 / 표준_민원유형 / 신청인_식별자 / 연락처(정규) / 주소(요약) / 민원요지 / 처리상태 / 결함_태그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결함_태그 열에는 적용된 규칙 번호를 쉼표로 묶어 기록한다(예: R1, R4).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분석 목적이 통계라면 신청인_식별자와 연락처 열은 제외해도 된다.</w:t>
            </w:r>
          </w:p>
        </w:tc>
      </w:tr>
    </w:tbl>
    <w:p>
      <w:pPr>
        <w:spacing w:after="80"/>
      </w:pPr>
    </w:p>
    <w:p>
      <w:pPr>
        <w:spacing w:after="80"/>
      </w:pPr>
      <w:r>
        <w:rPr>
          <w:rFonts w:ascii="맑은 고딕" w:hAnsi="맑은 고딕"/>
          <w:b/>
          <w:sz w:val="24"/>
        </w:rPr>
        <w:t>정리 완료 후 점검 체크리스트</w:t>
      </w:r>
    </w:p>
    <w:p>
      <w:pPr>
        <w:pStyle w:val="ListBullet"/>
      </w:pPr>
      <w:r>
        <w:rPr>
          <w:rFonts w:ascii="맑은 고딕" w:hAnsi="맑은 고딕"/>
          <w:sz w:val="20"/>
        </w:rPr>
        <w:t>결함_태그 열에 일곱 가지 규칙(R1~R7)이 모두 한 번 이상 등장하는가?</w:t>
      </w:r>
    </w:p>
    <w:p>
      <w:pPr>
        <w:pStyle w:val="ListBullet"/>
      </w:pPr>
      <w:r>
        <w:rPr>
          <w:rFonts w:ascii="맑은 고딕" w:hAnsi="맑은 고딕"/>
          <w:sz w:val="20"/>
        </w:rPr>
        <w:t>누락_확인_필요 시트, 중복_분리 시트, 개인정보_마스킹_원본 시트가 별도로 생성되었는가?</w:t>
      </w:r>
    </w:p>
    <w:p>
      <w:pPr>
        <w:pStyle w:val="ListBullet"/>
      </w:pPr>
      <w:r>
        <w:rPr>
          <w:rFonts w:ascii="맑은 고딕" w:hAnsi="맑은 고딕"/>
          <w:sz w:val="20"/>
        </w:rPr>
        <w:t>접수일자와 연락처가 단일 표기로 통일되었는가?</w:t>
      </w:r>
    </w:p>
    <w:p>
      <w:pPr>
        <w:pStyle w:val="ListBullet"/>
      </w:pPr>
      <w:r>
        <w:rPr>
          <w:rFonts w:ascii="맑은 고딕" w:hAnsi="맑은 고딕"/>
          <w:sz w:val="20"/>
        </w:rPr>
        <w:t>민원유형 열에 표준 분류 외 값이 남아 있지 않은가?</w:t>
      </w:r>
    </w:p>
    <w:p>
      <w:pPr>
        <w:pStyle w:val="ListBullet"/>
      </w:pPr>
      <w:r>
        <w:rPr>
          <w:rFonts w:ascii="맑은 고딕" w:hAnsi="맑은 고딕"/>
          <w:sz w:val="20"/>
        </w:rPr>
        <w:t>민원요지 열의 문장 길이가 어느 정도 균일한가? (한 문장, 60자 이내 권장)</w:t>
      </w:r>
    </w:p>
    <w:p>
      <w:pPr>
        <w:pStyle w:val="ListBullet"/>
      </w:pPr>
      <w:r>
        <w:rPr>
          <w:rFonts w:ascii="맑은 고딕" w:hAnsi="맑은 고딕"/>
          <w:sz w:val="20"/>
        </w:rPr>
        <w:t>최종 표를 외부에 공유할 때 개인정보 마스킹이 일관 적용되었는가?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