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40-2 (분기별 예산집행현황 분석)  |  40-2_예산보고_틀.docx</w:t>
      </w:r>
    </w:p>
    <w:p>
      <w:pPr>
        <w:spacing w:after="40"/>
        <w:jc w:val="right"/>
      </w:pPr>
      <w:r>
        <w:rPr>
          <w:rFonts w:ascii="맑은 고딕" w:hAnsi="맑은 고딕"/>
          <w:color w:val="595959"/>
          <w:sz w:val="16"/>
        </w:rPr>
        <w:t>교육용 가상 더미자료 — 100% 가상 데이터, 실제 기관자료 아님</w:t>
      </w:r>
    </w:p>
    <w:p>
      <w:pPr>
        <w:spacing w:after="160"/>
        <w:jc w:val="center"/>
      </w:pPr>
      <w:r>
        <w:rPr>
          <w:rFonts w:ascii="맑은 고딕" w:hAnsi="맑은 고딕"/>
          <w:b/>
          <w:sz w:val="30"/>
        </w:rPr>
        <w:t>분기별 예산집행 보고 양식과 점검 기준</w:t>
      </w:r>
    </w:p>
    <w:p>
      <w:pPr>
        <w:spacing w:after="160"/>
      </w:pPr>
      <w:r>
        <w:rPr>
          <w:rFonts w:ascii="맑은 고딕" w:hAnsi="맑은 고딕"/>
          <w:b w:val="0"/>
        </w:rPr>
        <w:t>본 문서는 40-1 예산집행 raw 데이터를 결재권자에게 보고할 한 페이지 보고서로 정리하는 데 사용합니다. 1) 한 페이지 보고서 양식, 2) 일곱 가지 점검 기준 카드, 3) 정리 후 체크리스트로 구성됩니다.</w:t>
      </w:r>
    </w:p>
    <w:p>
      <w:pPr>
        <w:spacing w:after="80"/>
      </w:pPr>
      <w:r>
        <w:rPr>
          <w:rFonts w:ascii="맑은 고딕" w:hAnsi="맑은 고딕"/>
          <w:b/>
          <w:sz w:val="24"/>
        </w:rPr>
        <w:t>1. 한 페이지 보고서 양식</w:t>
      </w:r>
    </w:p>
    <w:p>
      <w:pPr>
        <w:spacing w:after="0"/>
      </w:pPr>
      <w:r>
        <w:rPr>
          <w:rFonts w:ascii="Consolas" w:hAnsi="Consolas"/>
          <w:sz w:val="18"/>
        </w:rPr>
        <w:t>[제목]  YYYY년 N분기 예산집행 현황 보고</w:t>
      </w:r>
    </w:p>
    <w:p>
      <w:pPr>
        <w:spacing w:after="0"/>
      </w:pPr>
      <w:r>
        <w:rPr>
          <w:rFonts w:ascii="Consolas" w:hAnsi="Consolas"/>
          <w:sz w:val="18"/>
        </w:rPr>
        <w:t>[보고일]  YYYY-MM-DD</w:t>
      </w:r>
    </w:p>
    <w:p>
      <w:pPr>
        <w:spacing w:after="0"/>
      </w:pPr>
      <w:r>
        <w:rPr>
          <w:rFonts w:ascii="Consolas" w:hAnsi="Consolas"/>
          <w:sz w:val="18"/>
        </w:rPr>
        <w:t>[보고 부서]  ○○과 / 작성자 ○○○ / 결재 라인 ○○</w:t>
      </w:r>
    </w:p>
    <w:p>
      <w:pPr>
        <w:spacing w:after="0"/>
      </w:pPr>
    </w:p>
    <w:p>
      <w:pPr>
        <w:spacing w:after="0"/>
      </w:pPr>
      <w:r>
        <w:rPr>
          <w:rFonts w:ascii="Consolas" w:hAnsi="Consolas"/>
          <w:sz w:val="18"/>
        </w:rPr>
        <w:t>[핵심 메시지] (3줄 이내)</w:t>
      </w:r>
    </w:p>
    <w:p>
      <w:pPr>
        <w:spacing w:after="0"/>
      </w:pPr>
      <w:r>
        <w:rPr>
          <w:rFonts w:ascii="Consolas" w:hAnsi="Consolas"/>
          <w:sz w:val="18"/>
        </w:rPr>
        <w:t xml:space="preserve">  • 누적 집행률 N.N%, 전 분기 대비 ±N.N%p</w:t>
      </w:r>
    </w:p>
    <w:p>
      <w:pPr>
        <w:spacing w:after="0"/>
      </w:pPr>
      <w:r>
        <w:rPr>
          <w:rFonts w:ascii="Consolas" w:hAnsi="Consolas"/>
          <w:sz w:val="18"/>
        </w:rPr>
        <w:t xml:space="preserve">  • 집행률 미달 사업 N건(주요 사유: ○○)</w:t>
      </w:r>
    </w:p>
    <w:p>
      <w:pPr>
        <w:spacing w:after="0"/>
      </w:pPr>
      <w:r>
        <w:rPr>
          <w:rFonts w:ascii="Consolas" w:hAnsi="Consolas"/>
          <w:sz w:val="18"/>
        </w:rPr>
        <w:t xml:space="preserve">  • 4분기 집중 집행 예정 사업 N건, 조정 필요 사업 N건</w:t>
      </w:r>
    </w:p>
    <w:p>
      <w:pPr>
        <w:spacing w:after="0"/>
      </w:pPr>
    </w:p>
    <w:p>
      <w:pPr>
        <w:spacing w:after="0"/>
      </w:pPr>
      <w:r>
        <w:rPr>
          <w:rFonts w:ascii="Consolas" w:hAnsi="Consolas"/>
          <w:sz w:val="18"/>
        </w:rPr>
        <w:t>[사업별 표] (집행률 낮은 사업 위주로 정렬)</w:t>
      </w:r>
    </w:p>
    <w:p>
      <w:pPr>
        <w:spacing w:after="0"/>
      </w:pPr>
      <w:r>
        <w:rPr>
          <w:rFonts w:ascii="Consolas" w:hAnsi="Consolas"/>
          <w:sz w:val="18"/>
        </w:rPr>
        <w:t xml:space="preserve">  열: 사업번호 | 사업명 | 주관부서 | 조정후예산 | 누적집행 | 집행률 | 미집행 사유 | 향후 조치</w:t>
      </w:r>
    </w:p>
    <w:p>
      <w:pPr>
        <w:spacing w:after="0"/>
      </w:pPr>
    </w:p>
    <w:p>
      <w:pPr>
        <w:spacing w:after="0"/>
      </w:pPr>
      <w:r>
        <w:rPr>
          <w:rFonts w:ascii="Consolas" w:hAnsi="Consolas"/>
          <w:sz w:val="18"/>
        </w:rPr>
        <w:t>[미집행 사유 요약] (5분류)</w:t>
      </w:r>
    </w:p>
    <w:p>
      <w:pPr>
        <w:spacing w:after="0"/>
      </w:pPr>
      <w:r>
        <w:rPr>
          <w:rFonts w:ascii="Consolas" w:hAnsi="Consolas"/>
          <w:sz w:val="18"/>
        </w:rPr>
        <w:t xml:space="preserve">  • 계약·발주 지연</w:t>
      </w:r>
    </w:p>
    <w:p>
      <w:pPr>
        <w:spacing w:after="0"/>
      </w:pPr>
      <w:r>
        <w:rPr>
          <w:rFonts w:ascii="Consolas" w:hAnsi="Consolas"/>
          <w:sz w:val="18"/>
        </w:rPr>
        <w:t xml:space="preserve">  • 사업 일정 조정</w:t>
      </w:r>
    </w:p>
    <w:p>
      <w:pPr>
        <w:spacing w:after="0"/>
      </w:pPr>
      <w:r>
        <w:rPr>
          <w:rFonts w:ascii="Consolas" w:hAnsi="Consolas"/>
          <w:sz w:val="18"/>
        </w:rPr>
        <w:t xml:space="preserve">  • 외부 환경 변동 (단가 인상, 자재 수급 등)</w:t>
      </w:r>
    </w:p>
    <w:p>
      <w:pPr>
        <w:spacing w:after="0"/>
      </w:pPr>
      <w:r>
        <w:rPr>
          <w:rFonts w:ascii="Consolas" w:hAnsi="Consolas"/>
          <w:sz w:val="18"/>
        </w:rPr>
        <w:t xml:space="preserve">  • 참여자·수혜자 모집 지연</w:t>
      </w:r>
    </w:p>
    <w:p>
      <w:pPr>
        <w:spacing w:after="0"/>
      </w:pPr>
      <w:r>
        <w:rPr>
          <w:rFonts w:ascii="Consolas" w:hAnsi="Consolas"/>
          <w:sz w:val="18"/>
        </w:rPr>
        <w:t xml:space="preserve">  • 기타 — 자유서술 사유는 다음 단계 분류 후 보고</w:t>
      </w:r>
    </w:p>
    <w:p>
      <w:pPr>
        <w:spacing w:after="0"/>
      </w:pPr>
    </w:p>
    <w:p>
      <w:pPr>
        <w:spacing w:after="0"/>
      </w:pPr>
      <w:r>
        <w:rPr>
          <w:rFonts w:ascii="Consolas" w:hAnsi="Consolas"/>
          <w:sz w:val="18"/>
        </w:rPr>
        <w:t>[향후 조치 사항]</w:t>
      </w:r>
    </w:p>
    <w:p>
      <w:pPr>
        <w:spacing w:after="0"/>
      </w:pPr>
      <w:r>
        <w:rPr>
          <w:rFonts w:ascii="Consolas" w:hAnsi="Consolas"/>
          <w:sz w:val="18"/>
        </w:rPr>
        <w:t xml:space="preserve">  • 단기 (4분기 안 처리)</w:t>
      </w:r>
    </w:p>
    <w:p>
      <w:pPr>
        <w:spacing w:after="0"/>
      </w:pPr>
      <w:r>
        <w:rPr>
          <w:rFonts w:ascii="Consolas" w:hAnsi="Consolas"/>
          <w:sz w:val="18"/>
        </w:rPr>
        <w:t xml:space="preserve">  • 중기 (다음 사업연도 반영)</w:t>
      </w:r>
    </w:p>
    <w:p>
      <w:pPr>
        <w:spacing w:after="0"/>
      </w:pPr>
      <w:r>
        <w:rPr>
          <w:rFonts w:ascii="Consolas" w:hAnsi="Consolas"/>
          <w:sz w:val="18"/>
        </w:rPr>
        <w:t xml:space="preserve">  • 보고 후 추가 확인이 필요한 항목</w:t>
      </w:r>
    </w:p>
    <w:p>
      <w:pPr>
        <w:spacing w:after="80"/>
      </w:pPr>
    </w:p>
    <w:p>
      <w:pPr>
        <w:spacing w:after="80"/>
      </w:pPr>
      <w:r>
        <w:rPr>
          <w:rFonts w:ascii="맑은 고딕" w:hAnsi="맑은 고딕"/>
          <w:b/>
          <w:sz w:val="24"/>
        </w:rPr>
        <w:t>2. 점검 기준 카드</w:t>
      </w:r>
    </w:p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1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분기 합계와 누적 일치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1Q집행 + 2Q집행 + 3Q집행 vs 누적집행 열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두 값의 차이가 1천원 이상이면 합계 불일치로 본다.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원본 분기별 자료에서 합계를 다시 계산해 누적집행 열을 갱신한다. 차이는 검토 로그에 남긴다.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감액·반환 등으로 음수가 포함된 경우는 비고에 사유를 남기고 그대로 둔다.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2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집행률 계산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집행률(%) 열의 표기 값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(누적집행 / 조정후예산) × 100 과 0.5%p 이상 차이가 나면 오류 후보로 본다.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계산식을 재적용하고 소수점 첫째 자리에서 반올림한다.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조정후예산이 0이거나 변경 직후인 경우는 별도 메모로 보고한다.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3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단위 표기 통일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단위 열 (천원/원/백만원 혼재 가능)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한 자료 안에 두 가지 이상 단위가 혼재된 경우 통일이 필요하다.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분석 표는 천원 단위로 통일하고, 원자료가 다른 단위였던 행은 보고용 표에서 환산해 작성한다.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법정 보고 양식이 원 단위인 경우는 외부 제출용 표를 별도 시트로 만든다.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4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미집행 사유 분류 표준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미집행사유 열의 자유서술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기타, 사정상, 일정 사유 같은 모호 표현이거나 빈칸인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다섯 가지 표준 분류(계약·발주 / 일정 조정 / 외부 환경 / 모집 지연 / 기타)로 매핑한다. 빈칸은 담당자 확인 후 분류한다.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기관 내부 사정으로 공개 보고에 적합하지 않은 사유는 내부용 메모로만 남긴다.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5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사업번호 중복 점검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사업번호 열의 중복 값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같은 사업번호가 두 행 이상에 등장하는 경우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원본 시스템에서 동일 사업인지 확인 후, 동일 사업이면 합산하고 별건이면 사업번호를 부여한다.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회계계정이 다른 분리 집행 사업은 사업번호 끝에 -01, -02 식으로 식별자를 추가한다.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6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사업명과 부서명 표기 통일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사업명 약식 표기, 부서명 비통일(예: 복지지원팀/복지지원과)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보고 본문이 외부 결재용이면 약식 표기는 풀네임으로 통일해야 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원본_사업명, 원본_부서명 열을 추가해 원문을 보존하고 보고용 표에는 표준 표기를 사용한다.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내부 회의 메모용 자료라면 약식 표기를 그대로 두되 첫 등장 시 풀네임을 병기한다.</w:t>
            </w:r>
          </w:p>
        </w:tc>
      </w:tr>
    </w:tbl>
    <w:tbl>
      <w:tblPr>
        <w:tblStyle w:val="LightGrid-Accent1"/>
        <w:tblW w:type="auto" w:w="0"/>
        <w:tblLayout w:type="fixed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041"/>
          </w:tcPr>
          <w:p>
            <w:r>
              <w:rPr>
                <w:b/>
                <w:sz w:val="22"/>
              </w:rPr>
              <w:t>규칙 7</w:t>
            </w:r>
          </w:p>
        </w:tc>
        <w:tc>
          <w:tcPr>
            <w:tcW w:type="dxa" w:w="7257"/>
          </w:tcPr>
          <w:p>
            <w:r>
              <w:rPr>
                <w:b/>
                <w:sz w:val="22"/>
              </w:rPr>
              <w:t>음수 집행액 검토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적용 대상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분기 집행액에 음수가 있는 행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판정 기준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환불·반환·정정 등으로 음수가 발생할 수 있으나 사유가 비고에 없으면 검토 대상.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조치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사유를 확인해 비고에 명시하고, 음수가 누적집행에 반영되는지 다시 확인한다.</w:t>
            </w:r>
          </w:p>
        </w:tc>
      </w:tr>
      <w:tr>
        <w:tc>
          <w:tcPr>
            <w:tcW w:type="dxa" w:w="2041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b/>
                <w:sz w:val="20"/>
              </w:rPr>
              <w:t>예외</w:t>
            </w:r>
          </w:p>
        </w:tc>
        <w:tc>
          <w:tcPr>
            <w:tcW w:type="dxa" w:w="7257"/>
            <w:vAlign w:val="center"/>
          </w:tcPr>
          <w:p>
            <w:pPr>
              <w:spacing w:after="40"/>
            </w:pPr>
            <w:r>
              <w:rPr>
                <w:rFonts w:ascii="맑은 고딕" w:hAnsi="맑은 고딕"/>
                <w:sz w:val="20"/>
              </w:rPr>
              <w:t>회계 시스템이 별도로 차감을 표시하는 경우는 표시 방식에 맞춰 본문 문장으로 설명한다.</w:t>
            </w:r>
          </w:p>
        </w:tc>
      </w:tr>
    </w:tbl>
    <w:p>
      <w:pPr>
        <w:spacing w:after="80"/>
      </w:pPr>
      <w:r>
        <w:rPr>
          <w:rFonts w:ascii="맑은 고딕" w:hAnsi="맑은 고딕"/>
          <w:b/>
          <w:sz w:val="24"/>
        </w:rPr>
        <w:t>3. 정리 후 체크리스트</w:t>
      </w:r>
    </w:p>
    <w:p>
      <w:pPr>
        <w:pStyle w:val="ListBullet"/>
      </w:pPr>
      <w:r>
        <w:rPr>
          <w:rFonts w:ascii="맑은 고딕" w:hAnsi="맑은 고딕"/>
          <w:sz w:val="20"/>
        </w:rPr>
        <w:t>분기 합계와 누적집행 열이 일치하는가? 차이 행 수와 사유가 기록됐는가?</w:t>
      </w:r>
    </w:p>
    <w:p>
      <w:pPr>
        <w:pStyle w:val="ListBullet"/>
      </w:pPr>
      <w:r>
        <w:rPr>
          <w:rFonts w:ascii="맑은 고딕" w:hAnsi="맑은 고딕"/>
          <w:sz w:val="20"/>
        </w:rPr>
        <w:t>집행률 열이 (누적집행/조정후예산)×100 계산식과 일치하는가?</w:t>
      </w:r>
    </w:p>
    <w:p>
      <w:pPr>
        <w:pStyle w:val="ListBullet"/>
      </w:pPr>
      <w:r>
        <w:rPr>
          <w:rFonts w:ascii="맑은 고딕" w:hAnsi="맑은 고딕"/>
          <w:sz w:val="20"/>
        </w:rPr>
        <w:t>보고용 표의 모든 행이 천원 단위로 통일됐는가?</w:t>
      </w:r>
    </w:p>
    <w:p>
      <w:pPr>
        <w:pStyle w:val="ListBullet"/>
      </w:pPr>
      <w:r>
        <w:rPr>
          <w:rFonts w:ascii="맑은 고딕" w:hAnsi="맑은 고딕"/>
          <w:sz w:val="20"/>
        </w:rPr>
        <w:t>미집행 사유가 다섯 가지 표준 분류로 매핑됐는가? 모호 표현 0건?</w:t>
      </w:r>
    </w:p>
    <w:p>
      <w:pPr>
        <w:pStyle w:val="ListBullet"/>
      </w:pPr>
      <w:r>
        <w:rPr>
          <w:rFonts w:ascii="맑은 고딕" w:hAnsi="맑은 고딕"/>
          <w:sz w:val="20"/>
        </w:rPr>
        <w:t>사업번호 중복이 모두 해소됐는가?</w:t>
      </w:r>
    </w:p>
    <w:p>
      <w:pPr>
        <w:pStyle w:val="ListBullet"/>
      </w:pPr>
      <w:r>
        <w:rPr>
          <w:rFonts w:ascii="맑은 고딕" w:hAnsi="맑은 고딕"/>
          <w:sz w:val="20"/>
        </w:rPr>
        <w:t>사업명·부서명이 풀네임 표준으로 정리됐는가?</w:t>
      </w:r>
    </w:p>
    <w:p>
      <w:pPr>
        <w:pStyle w:val="ListBullet"/>
      </w:pPr>
      <w:r>
        <w:rPr>
          <w:rFonts w:ascii="맑은 고딕" w:hAnsi="맑은 고딕"/>
          <w:sz w:val="20"/>
        </w:rPr>
        <w:t>음수 집행액 행 모두 사유가 명시됐는가?</w:t>
      </w:r>
    </w:p>
    <w:p>
      <w:pPr>
        <w:pStyle w:val="ListBullet"/>
      </w:pPr>
      <w:r>
        <w:rPr>
          <w:rFonts w:ascii="맑은 고딕" w:hAnsi="맑은 고딕"/>
          <w:sz w:val="20"/>
        </w:rPr>
        <w:t>한 페이지 보고서가 핵심 메시지 3줄 + 표 + 사유 요약 + 향후 조치 구조로 정리됐는가?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