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43-2 (이상치 점검 및 오류 후보 찾기)  |  43-2_검증_규칙_카드.docx</w:t>
      </w:r>
    </w:p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교육용 가상 더미자료 — 100% 가상 데이터, 실제 기관자료 아님</w:t>
      </w:r>
    </w:p>
    <w:p>
      <w:pPr>
        <w:spacing w:after="160"/>
        <w:jc w:val="center"/>
      </w:pPr>
      <w:r>
        <w:rPr>
          <w:rFonts w:ascii="맑은 고딕" w:hAnsi="맑은 고딕"/>
          <w:b/>
          <w:sz w:val="30"/>
        </w:rPr>
        <w:t>이상치 검증 규칙 카드</w:t>
      </w:r>
    </w:p>
    <w:p>
      <w:pPr>
        <w:spacing w:after="160"/>
      </w:pPr>
      <w:r>
        <w:rPr>
          <w:rFonts w:ascii="맑은 고딕" w:hAnsi="맑은 고딕"/>
          <w:b w:val="0"/>
        </w:rPr>
        <w:t>본 카드는 43-1 지출 거래 원자료에서 오류 후보를 식별하기 위한 아홉 가지 검증 규칙입니다. 각 규칙은 적용 대상, 판정 기준, 임계값, 조치, 예외 다섯 가지로 구성됩니다. 마지막 절에는 점검 절차와 담당자 재검토 양식이 있습니다.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1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날짜 유효성 검증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거래일자, 결재일자 열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달력에 존재하지 않는 날짜(예: 2월 30일), 미래 날짜, YYYY-MM-DD 외 표기(예: 2026.06.30)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임계값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거래일자가 보고 기준월 이후이거나 결재일자가 거래일자보다 이른 경우 100% 후보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거래일자에 사유 명시한 행은 사유 확인 후 분류. 형식 비정규는 정규화 후 재검증.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회계기간 마감 후 정정 거래는 별도 시트로 분리 보관한다.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2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금액 범위 검증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공급가액, 합계금액 열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단건 금액이 직무 평균 분포의 상한을 크게 초과하거나 하한 미만(음수 포함)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임계값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단건 5천만 원 초과 또는 음수가 후보 — 비고에 사유 명시 여부도 함께 본다.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결재 라인 상신 후 사유 확인. 음수 환불·정정 거래는 별도 시트로 분리.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대형 자산 구입·연간 계약 일괄 결제 등 사전 결재된 거래는 별도 카테고리.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3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거래번호 중복 검증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거래번호 열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동일 거래번호가 두 행 이상에 등장하면 후보.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임계값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거래번호 카운트가 1보다 큰 경우 모두 표시.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원본 시스템에서 동일 거래인지 별건 정정인지 확인 후 분류.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회계 시스템의 자동 분개 거래 등 일대다 매핑이 의도된 경우는 매핑 표 확인.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4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동일 거래 다른 번호 검증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거래처+거래일자+합계금액 조합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세 항목이 모두 동일하지만 거래번호만 다른 행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임계값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거래처·일자·금액 키 매칭 시 후보로 분리.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원본 명세서 확인 후 동일 거래면 합산·삭제, 별건이면 사유를 비고에 명시.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동일한 단가의 정기 분할 결제는 거래일자가 다르면 정상으로 본다.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5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필수 항목 결측 검증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거래처, 계정과목, 결재일자 열의 빈칸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결재 라인에 올릴 자료에 빠진 항목이 있으면 후보.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임계값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한 행에 결측이 1건 이상 있으면 후보로 분리한다.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결재 라인 상신 전 보완. 보완이 어려운 경우 사유를 비고에 명시.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회계 시스템 자동 입력으로 결재일자가 비는 일시 상태는 시스템 점검 대상.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6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계산 정합성 검증 — 부가세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공급가액, 부가세 열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부가세가 공급가액의 10%와 다른 행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임계값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오차 ±100원 이상이면 후보.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원본 계산 확인 후 정정. 비과세 거래는 사유를 비고에 명시.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면세·비과세 항목은 본 규칙 적용 제외.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7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계산 정합성 검증 — 합계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공급가액, 부가세, 합계금액 열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합계금액 ≠ 공급가액 + 부가세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임계값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오차 ±100원 이상이면 후보.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원본 명세 확인 후 정정. 단수처리 등 사유는 비고에 명시.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외화 거래로 환율 적용으로 단수처리가 발생한 경우는 사유 표시 후 유지.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8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사업자등록번호 형식 검증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사업자등록번호 열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표준 형식(XXX-XX-XXXXX, 10자리)이 아닌 행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임계값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자릿수 9 이하 또는 11 이상, 하이픈 누락 또는 위치 오류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정규식 ^\d{3}-\d{2}-\d{5}$ 로 검증 후 형식 보정. 보정 불가 시 거래처 마스터 조회.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해외 거래처는 별도 형식 허용 목록을 둔다.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9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부서·계정 매칭 검증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주관부서, 계정과목 조합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기관 표준 부서·계정 매핑표에 없는 조합(예: 환경관리팀 + 교육훈련비)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임계값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표준 매핑표에 0건이면 후보.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결재 라인에서 사유 확인 후 분류 정정. 신규 사업이면 매핑표 갱신 절차 진행.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교차 부서 사업의 공동 집행은 부서·계정 분할 매핑을 사용한다.</w:t>
            </w:r>
          </w:p>
        </w:tc>
      </w:tr>
    </w:tbl>
    <w:p>
      <w:pPr>
        <w:spacing w:after="80"/>
      </w:pPr>
      <w:r>
        <w:rPr>
          <w:rFonts w:ascii="맑은 고딕" w:hAnsi="맑은 고딕"/>
          <w:b/>
          <w:sz w:val="24"/>
        </w:rPr>
        <w:t>점검 절차</w:t>
      </w:r>
    </w:p>
    <w:p>
      <w:pPr>
        <w:spacing w:after="40"/>
      </w:pPr>
      <w:r>
        <w:rPr>
          <w:rFonts w:ascii="맑은 고딕" w:hAnsi="맑은 고딕"/>
          <w:sz w:val="20"/>
        </w:rPr>
        <w:t>1) 43-1 원본을 사본으로 복제한 후 검증 작업은 사본에서만 수행한다.</w:t>
      </w:r>
    </w:p>
    <w:p>
      <w:pPr>
        <w:spacing w:after="40"/>
      </w:pPr>
      <w:r>
        <w:rPr>
          <w:rFonts w:ascii="맑은 고딕" w:hAnsi="맑은 고딕"/>
          <w:sz w:val="20"/>
        </w:rPr>
        <w:t>2) 위 아홉 가지 규칙을 한 번에 모두 적용해 후보 행을 분리한다(검출_태그 열에 규칙 번호 기록).</w:t>
      </w:r>
    </w:p>
    <w:p>
      <w:pPr>
        <w:spacing w:after="40"/>
      </w:pPr>
      <w:r>
        <w:rPr>
          <w:rFonts w:ascii="맑은 고딕" w:hAnsi="맑은 고딕"/>
          <w:sz w:val="20"/>
        </w:rPr>
        <w:t>3) 후보 행을 담당자 재검토 시트로 옮긴다 — 한 행이 여러 규칙에 걸리면 모두 기록.</w:t>
      </w:r>
    </w:p>
    <w:p>
      <w:pPr>
        <w:spacing w:after="40"/>
      </w:pPr>
      <w:r>
        <w:rPr>
          <w:rFonts w:ascii="맑은 고딕" w:hAnsi="맑은 고딕"/>
          <w:sz w:val="20"/>
        </w:rPr>
        <w:t>4) 담당자가 사유 확인 후 「정정 / 유지 / 분리 보관」 중 하나로 처리한다.</w:t>
      </w:r>
    </w:p>
    <w:p>
      <w:pPr>
        <w:spacing w:after="40"/>
      </w:pPr>
      <w:r>
        <w:rPr>
          <w:rFonts w:ascii="맑은 고딕" w:hAnsi="맑은 고딕"/>
          <w:sz w:val="20"/>
        </w:rPr>
        <w:t>5) AI 점검 결과는 추정과 후보 수준이므로, 실제 삭제·정정은 결재 라인 거친 뒤 진행.</w:t>
      </w:r>
    </w:p>
    <w:p>
      <w:pPr>
        <w:spacing w:after="80"/>
      </w:pPr>
      <w:r>
        <w:rPr>
          <w:rFonts w:ascii="맑은 고딕" w:hAnsi="맑은 고딕"/>
          <w:b/>
          <w:sz w:val="24"/>
        </w:rPr>
        <w:t>담당자 재검토 보고 양식</w:t>
      </w:r>
    </w:p>
    <w:p>
      <w:pPr>
        <w:spacing w:after="0"/>
      </w:pPr>
      <w:r>
        <w:rPr>
          <w:rFonts w:ascii="Consolas" w:hAnsi="Consolas"/>
          <w:sz w:val="18"/>
        </w:rPr>
        <w:t>[제목]  YYYY년 N분기 지출 거래 이상치 점검 결과 — 담당자 재검토 보고</w:t>
      </w:r>
    </w:p>
    <w:p>
      <w:pPr>
        <w:spacing w:after="0"/>
      </w:pPr>
      <w:r>
        <w:rPr>
          <w:rFonts w:ascii="Consolas" w:hAnsi="Consolas"/>
          <w:sz w:val="18"/>
        </w:rPr>
        <w:t>[보고일]  YYYY-MM-DD</w:t>
      </w:r>
    </w:p>
    <w:p>
      <w:pPr>
        <w:spacing w:after="0"/>
      </w:pPr>
      <w:r>
        <w:rPr>
          <w:rFonts w:ascii="Consolas" w:hAnsi="Consolas"/>
          <w:sz w:val="18"/>
        </w:rPr>
        <w:t>[원자료]  43-1 / 검토 대상 N행</w:t>
      </w:r>
    </w:p>
    <w:p>
      <w:pPr>
        <w:spacing w:after="0"/>
      </w:pPr>
    </w:p>
    <w:p>
      <w:pPr>
        <w:spacing w:after="0"/>
      </w:pPr>
      <w:r>
        <w:rPr>
          <w:rFonts w:ascii="Consolas" w:hAnsi="Consolas"/>
          <w:sz w:val="18"/>
        </w:rPr>
        <w:t>[후보 요약 표]</w:t>
      </w:r>
    </w:p>
    <w:p>
      <w:pPr>
        <w:spacing w:after="0"/>
      </w:pPr>
      <w:r>
        <w:rPr>
          <w:rFonts w:ascii="Consolas" w:hAnsi="Consolas"/>
          <w:sz w:val="18"/>
        </w:rPr>
        <w:t xml:space="preserve">  열: 거래번호 | 거래일자 | 주관부서 | 계정과목 | 검출_태그(규칙 번호) | 추정 사유 | 권고 처리</w:t>
      </w:r>
    </w:p>
    <w:p>
      <w:pPr>
        <w:spacing w:after="0"/>
      </w:pPr>
    </w:p>
    <w:p>
      <w:pPr>
        <w:spacing w:after="0"/>
      </w:pPr>
      <w:r>
        <w:rPr>
          <w:rFonts w:ascii="Consolas" w:hAnsi="Consolas"/>
          <w:sz w:val="18"/>
        </w:rPr>
        <w:t>[처리 결과 요약]</w:t>
      </w:r>
    </w:p>
    <w:p>
      <w:pPr>
        <w:spacing w:after="0"/>
      </w:pPr>
      <w:r>
        <w:rPr>
          <w:rFonts w:ascii="Consolas" w:hAnsi="Consolas"/>
          <w:sz w:val="18"/>
        </w:rPr>
        <w:t xml:space="preserve">  • 정정 N건 / 유지 N건 / 분리 보관 N건</w:t>
      </w:r>
    </w:p>
    <w:p>
      <w:pPr>
        <w:spacing w:after="0"/>
      </w:pPr>
    </w:p>
    <w:p>
      <w:pPr>
        <w:spacing w:after="0"/>
      </w:pPr>
      <w:r>
        <w:rPr>
          <w:rFonts w:ascii="Consolas" w:hAnsi="Consolas"/>
          <w:sz w:val="18"/>
        </w:rPr>
        <w:t>[보완이 필요한 점]</w:t>
      </w:r>
    </w:p>
    <w:p>
      <w:pPr>
        <w:spacing w:after="0"/>
      </w:pPr>
      <w:r>
        <w:rPr>
          <w:rFonts w:ascii="Consolas" w:hAnsi="Consolas"/>
          <w:sz w:val="18"/>
        </w:rPr>
        <w:t xml:space="preserve">  • 사유가 명시되지 않은 후보 N건 — 담당자 확인 후 분류</w:t>
      </w:r>
    </w:p>
    <w:p>
      <w:pPr>
        <w:spacing w:after="0"/>
      </w:pPr>
      <w:r>
        <w:rPr>
          <w:rFonts w:ascii="Consolas" w:hAnsi="Consolas"/>
          <w:sz w:val="18"/>
        </w:rPr>
        <w:t xml:space="preserve">  • 규칙 임계값 재검토 항목 (기관 표준 매핑표 등)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