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47-1 (SNS 홍보글 작성)  |  47-1_SNS_캠페인_노트.docx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28"/>
        </w:rPr>
        <w:t>다온구 모두의 안전운전 캠페인 — SNS 캠페인 노트</w:t>
      </w:r>
    </w:p>
    <w:p>
      <w:pPr>
        <w:spacing w:after="200"/>
      </w:pPr>
      <w:r>
        <w:rPr>
          <w:rFonts w:ascii="맑은 고딕" w:hAnsi="맑은 고딕"/>
          <w:b w:val="0"/>
        </w:rPr>
        <w:t>본 노트는 다온구 모두의 안전운전 캠페인을 SNS 채널별 홍보글로 정리하는 데 사용할 자극 자료입니다. AI에 입력해 채널별(인스타그램·페이스북·X·블로그·카카오 채널) 게시글을 만들 때 본 노트의 항목과 47-2의 톤 가이드를 함께 참조하세요. 캠페인 본문이 가벼워지더라도 법규·문의처·캠페인 기간은 누락하지 않아야 합니다.</w:t>
      </w:r>
    </w:p>
    <w:p>
      <w:pPr>
        <w:spacing w:after="80"/>
      </w:pPr>
      <w:r>
        <w:rPr>
          <w:rFonts w:ascii="맑은 고딕" w:hAnsi="맑은 고딕"/>
          <w:b/>
          <w:sz w:val="24"/>
        </w:rPr>
        <w:t>1. 캠페인 개요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캠페인명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모두의 안전운전 캠페인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주관 부서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도시안전팀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기간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2026-10-01(목) ~ 2026-10-31(금)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대상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거주·근무 운전자 전반, 청소년·고령 보행자 동반 안내 포함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핵심 가치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잠시 멈춤이 큰 변화를 만듭니다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주요 행동 유도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스쿨존·실버존 30km/h 준수, 음주 후 절대 운전 금지, 보행자 우선 신호 지키기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법령 근거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도로교통법 제17조(자동차 등의 속도)·제44조(음주운전 금지)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문의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다온구 도시안전팀 안전운전 캠페인 담당 (평일 09:00~18:00)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2. 채널별 활용 목적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인스타그램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이미지 1장 + 짧은 메시지로 캠페인 인지 확대, 청년·30대 노출 중심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페이스북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사례·인터뷰 중심 상세 글, 가족·중장년 대상 정책 정보 전달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X (구 트위터)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정책 발표·실시간 안내·민원 응대 채널, 한 줄 메시지 + 링크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기관 블로그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캠페인 배경·통계·인터뷰 상세, 외부 매체 인용 가능한 정식 자료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카카오 채널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구독자 알림 발송, 신청·이벤트 안내, 푸시 메시지 짧고 명확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3. 캠페인 사용 자산</w:t>
      </w:r>
    </w:p>
    <w:p>
      <w:pPr>
        <w:pStyle w:val="ListBullet"/>
      </w:pPr>
      <w:r>
        <w:rPr>
          <w:rFonts w:ascii="맑은 고딕" w:hAnsi="맑은 고딕"/>
          <w:sz w:val="20"/>
        </w:rPr>
        <w:t>인스타그램용 카드 이미지 3종 (스쿨존, 음주운전, 보행자 우선).</w:t>
      </w:r>
    </w:p>
    <w:p>
      <w:pPr>
        <w:pStyle w:val="ListBullet"/>
      </w:pPr>
      <w:r>
        <w:rPr>
          <w:rFonts w:ascii="맑은 고딕" w:hAnsi="맑은 고딕"/>
          <w:sz w:val="20"/>
        </w:rPr>
        <w:t>페이스북용 인터뷰 영상 60초 1편, 자막 포함.</w:t>
      </w:r>
    </w:p>
    <w:p>
      <w:pPr>
        <w:pStyle w:val="ListBullet"/>
      </w:pPr>
      <w:r>
        <w:rPr>
          <w:rFonts w:ascii="맑은 고딕" w:hAnsi="맑은 고딕"/>
          <w:sz w:val="20"/>
        </w:rPr>
        <w:t>X용 통계 카드 5종 (10월 사고 추이, 음주운전 적발, 스쿨존 단속 등).</w:t>
      </w:r>
    </w:p>
    <w:p>
      <w:pPr>
        <w:pStyle w:val="ListBullet"/>
      </w:pPr>
      <w:r>
        <w:rPr>
          <w:rFonts w:ascii="맑은 고딕" w:hAnsi="맑은 고딕"/>
          <w:sz w:val="20"/>
        </w:rPr>
        <w:t>블로그용 정책 해설 본문 1,200자 1편, 캠페인 인포그래픽 1종.</w:t>
      </w:r>
    </w:p>
    <w:p>
      <w:pPr>
        <w:pStyle w:val="ListBullet"/>
      </w:pPr>
      <w:r>
        <w:rPr>
          <w:rFonts w:ascii="맑은 고딕" w:hAnsi="맑은 고딕"/>
          <w:sz w:val="20"/>
        </w:rPr>
        <w:t>카카오 채널용 푸시 메시지 5건 (주 1회 발송).</w:t>
      </w:r>
    </w:p>
    <w:p>
      <w:pPr>
        <w:spacing w:after="80"/>
      </w:pPr>
      <w:r>
        <w:rPr>
          <w:rFonts w:ascii="맑은 고딕" w:hAnsi="맑은 고딕"/>
          <w:b/>
          <w:sz w:val="24"/>
        </w:rPr>
        <w:t>4. 표현·표기 가드레일</w:t>
      </w:r>
    </w:p>
    <w:p>
      <w:pPr>
        <w:pStyle w:val="ListBullet"/>
      </w:pPr>
      <w:r>
        <w:rPr>
          <w:rFonts w:ascii="맑은 고딕" w:hAnsi="맑은 고딕"/>
          <w:sz w:val="20"/>
        </w:rPr>
        <w:t>단정 표현(반드시·절대·100%)은 안전 수칙 인용 외에는 사용하지 않는다.</w:t>
      </w:r>
    </w:p>
    <w:p>
      <w:pPr>
        <w:pStyle w:val="ListBullet"/>
      </w:pPr>
      <w:r>
        <w:rPr>
          <w:rFonts w:ascii="맑은 고딕" w:hAnsi="맑은 고딕"/>
          <w:sz w:val="20"/>
        </w:rPr>
        <w:t>민원성 댓글에는 즉시 단정형 응답 대신 부서·연락처 안내와 후속 답변 일정을 안내한다.</w:t>
      </w:r>
    </w:p>
    <w:p>
      <w:pPr>
        <w:pStyle w:val="ListBullet"/>
      </w:pPr>
      <w:r>
        <w:rPr>
          <w:rFonts w:ascii="맑은 고딕" w:hAnsi="맑은 고딕"/>
          <w:sz w:val="20"/>
        </w:rPr>
        <w:t>캠페인 슬로건·정책 안내는 「~합니다」 경어체로 통일한다.</w:t>
      </w:r>
    </w:p>
    <w:p>
      <w:pPr>
        <w:pStyle w:val="ListBullet"/>
      </w:pPr>
      <w:r>
        <w:rPr>
          <w:rFonts w:ascii="맑은 고딕" w:hAnsi="맑은 고딕"/>
          <w:sz w:val="20"/>
        </w:rPr>
        <w:t>통계·법령 인용은 출처와 시점을 본문이나 댓글에 명시한다.</w:t>
      </w:r>
    </w:p>
    <w:p>
      <w:pPr>
        <w:pStyle w:val="ListBullet"/>
      </w:pPr>
      <w:r>
        <w:rPr>
          <w:rFonts w:ascii="맑은 고딕" w:hAnsi="맑은 고딕"/>
          <w:sz w:val="20"/>
        </w:rPr>
        <w:t>운전자·보행자 비난 표현은 사용하지 않는다(예: 무책임한·위험천만).</w:t>
      </w:r>
    </w:p>
    <w:p>
      <w:pPr>
        <w:spacing w:after="80"/>
      </w:pPr>
      <w:r>
        <w:rPr>
          <w:rFonts w:ascii="맑은 고딕" w:hAnsi="맑은 고딕"/>
          <w:b/>
          <w:sz w:val="24"/>
        </w:rPr>
        <w:t>5. 게시 일정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주 1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10/01 페이스북 인터뷰 영상 공개 · 인스타그램 카드 1종 · X 통계 카드 1종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주 2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블로그 본문 게재 · 카카오 채널 푸시 1건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주 3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스쿨존 집중 주제 인스타그램 카드 1종 · X 통계 카드 2종 · 카카오 채널 푸시 1건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주 4</w:t>
            </w:r>
          </w:p>
        </w:tc>
        <w:tc>
          <w:tcPr>
            <w:tcW w:type="dxa" w:w="7030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음주운전 집중 주제 인스타그램 카드 1종 · 카카오 채널 푸시 1건 · 블로그 후속 본문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